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64" w:rsidRPr="003D1564" w:rsidRDefault="003D1564" w:rsidP="003D1564">
      <w:pPr>
        <w:keepNext/>
        <w:keepLines/>
        <w:suppressAutoHyphens/>
        <w:jc w:val="center"/>
        <w:rPr>
          <w:rFonts w:eastAsia="DejaVu Sans"/>
          <w:b/>
          <w:color w:val="000000"/>
          <w:kern w:val="2"/>
          <w:sz w:val="36"/>
          <w:szCs w:val="36"/>
          <w:lang w:eastAsia="en-US"/>
        </w:rPr>
      </w:pPr>
      <w:r w:rsidRPr="003D1564">
        <w:rPr>
          <w:rFonts w:eastAsia="DejaVu Sans"/>
          <w:b/>
          <w:color w:val="000000"/>
          <w:kern w:val="2"/>
          <w:sz w:val="36"/>
          <w:szCs w:val="36"/>
          <w:lang w:eastAsia="en-US"/>
        </w:rPr>
        <w:t>Администрация Елизаветинского сельского поселения</w:t>
      </w:r>
    </w:p>
    <w:p w:rsidR="003D1564" w:rsidRPr="003D1564" w:rsidRDefault="003D1564" w:rsidP="003D1564">
      <w:pPr>
        <w:spacing w:after="200" w:line="276" w:lineRule="auto"/>
        <w:jc w:val="center"/>
        <w:rPr>
          <w:rFonts w:eastAsia="DejaVu Sans"/>
          <w:b/>
          <w:color w:val="000000"/>
          <w:kern w:val="2"/>
          <w:sz w:val="36"/>
          <w:szCs w:val="36"/>
          <w:lang w:eastAsia="en-US"/>
        </w:rPr>
      </w:pPr>
      <w:r w:rsidRPr="003D1564">
        <w:rPr>
          <w:rFonts w:eastAsia="DejaVu Sans"/>
          <w:b/>
          <w:color w:val="000000"/>
          <w:kern w:val="2"/>
          <w:sz w:val="36"/>
          <w:szCs w:val="36"/>
          <w:lang w:eastAsia="en-US"/>
        </w:rPr>
        <w:t>Черлакского муниципального района Омской области</w:t>
      </w:r>
    </w:p>
    <w:p w:rsidR="003D1564" w:rsidRPr="003D1564" w:rsidRDefault="003D1564" w:rsidP="003D1564">
      <w:pPr>
        <w:keepNext/>
        <w:keepLines/>
        <w:suppressAutoHyphens/>
        <w:rPr>
          <w:rFonts w:eastAsia="DejaVu Sans"/>
          <w:color w:val="000000"/>
          <w:kern w:val="2"/>
          <w:sz w:val="40"/>
          <w:szCs w:val="40"/>
          <w:lang w:eastAsia="en-US"/>
        </w:rPr>
      </w:pPr>
      <w:r w:rsidRPr="003D1564">
        <w:rPr>
          <w:rFonts w:eastAsia="DejaVu Sans"/>
          <w:color w:val="000000"/>
          <w:kern w:val="2"/>
          <w:sz w:val="40"/>
          <w:szCs w:val="40"/>
          <w:lang w:eastAsia="en-US"/>
        </w:rPr>
        <w:t xml:space="preserve">                                                     </w:t>
      </w:r>
      <w:r w:rsidRPr="003D1564">
        <w:rPr>
          <w:rFonts w:eastAsia="DejaVu Sans"/>
          <w:b/>
          <w:bCs/>
          <w:color w:val="000000"/>
          <w:kern w:val="2"/>
          <w:sz w:val="40"/>
          <w:szCs w:val="40"/>
          <w:lang w:eastAsia="en-US"/>
        </w:rPr>
        <w:t xml:space="preserve"> </w:t>
      </w:r>
    </w:p>
    <w:p w:rsidR="003D1564" w:rsidRPr="003D1564" w:rsidRDefault="003D1564" w:rsidP="003D1564">
      <w:pPr>
        <w:keepNext/>
        <w:keepLines/>
        <w:suppressAutoHyphens/>
        <w:jc w:val="center"/>
        <w:rPr>
          <w:rFonts w:eastAsia="DejaVu Sans"/>
          <w:b/>
          <w:bCs/>
          <w:color w:val="000000"/>
          <w:kern w:val="2"/>
          <w:sz w:val="40"/>
          <w:szCs w:val="40"/>
          <w:lang w:eastAsia="en-US"/>
        </w:rPr>
      </w:pPr>
      <w:r w:rsidRPr="003D1564">
        <w:rPr>
          <w:rFonts w:eastAsia="DejaVu Sans"/>
          <w:b/>
          <w:bCs/>
          <w:color w:val="000000"/>
          <w:kern w:val="2"/>
          <w:sz w:val="40"/>
          <w:szCs w:val="40"/>
          <w:lang w:eastAsia="en-US"/>
        </w:rPr>
        <w:t xml:space="preserve"> ПОСТАНОВЛЕНИЕ</w:t>
      </w:r>
    </w:p>
    <w:p w:rsidR="003D1564" w:rsidRPr="003D1564" w:rsidRDefault="003D1564" w:rsidP="003D1564">
      <w:pPr>
        <w:keepNext/>
        <w:keepLines/>
        <w:suppressAutoHyphens/>
        <w:jc w:val="center"/>
        <w:rPr>
          <w:rFonts w:eastAsia="DejaVu Sans"/>
          <w:b/>
          <w:bCs/>
          <w:color w:val="000000"/>
          <w:kern w:val="2"/>
          <w:lang w:eastAsia="en-US"/>
        </w:rPr>
      </w:pPr>
    </w:p>
    <w:p w:rsidR="003D1564" w:rsidRPr="003D1564" w:rsidRDefault="00327704" w:rsidP="003D1564">
      <w:pPr>
        <w:keepNext/>
        <w:keepLines/>
        <w:suppressAutoHyphens/>
        <w:rPr>
          <w:rFonts w:eastAsia="DejaVu Sans"/>
          <w:bCs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bCs/>
          <w:color w:val="000000"/>
          <w:kern w:val="2"/>
          <w:sz w:val="28"/>
          <w:szCs w:val="28"/>
          <w:lang w:eastAsia="en-US"/>
        </w:rPr>
        <w:t>от 12 дека</w:t>
      </w:r>
      <w:r w:rsidR="007B08CD" w:rsidRPr="007B08CD">
        <w:rPr>
          <w:rFonts w:eastAsia="DejaVu Sans"/>
          <w:bCs/>
          <w:color w:val="000000"/>
          <w:kern w:val="2"/>
          <w:sz w:val="28"/>
          <w:szCs w:val="28"/>
          <w:lang w:eastAsia="en-US"/>
        </w:rPr>
        <w:t>бря</w:t>
      </w:r>
      <w:r w:rsidR="003D1564" w:rsidRPr="007B08CD">
        <w:rPr>
          <w:rFonts w:eastAsia="DejaVu Sans"/>
          <w:bCs/>
          <w:color w:val="000000"/>
          <w:kern w:val="2"/>
          <w:sz w:val="28"/>
          <w:szCs w:val="28"/>
          <w:lang w:eastAsia="en-US"/>
        </w:rPr>
        <w:t xml:space="preserve"> 202</w:t>
      </w:r>
      <w:r>
        <w:rPr>
          <w:rFonts w:eastAsia="DejaVu Sans"/>
          <w:bCs/>
          <w:color w:val="000000"/>
          <w:kern w:val="2"/>
          <w:sz w:val="28"/>
          <w:szCs w:val="28"/>
          <w:lang w:eastAsia="en-US"/>
        </w:rPr>
        <w:t>4</w:t>
      </w:r>
      <w:r w:rsidR="003D1564" w:rsidRPr="007B08CD">
        <w:rPr>
          <w:rFonts w:eastAsia="DejaVu Sans"/>
          <w:bCs/>
          <w:color w:val="000000"/>
          <w:kern w:val="2"/>
          <w:sz w:val="28"/>
          <w:szCs w:val="28"/>
          <w:lang w:eastAsia="en-US"/>
        </w:rPr>
        <w:t xml:space="preserve"> года                                                   </w:t>
      </w:r>
      <w:r>
        <w:rPr>
          <w:rFonts w:eastAsia="DejaVu Sans"/>
          <w:bCs/>
          <w:color w:val="000000"/>
          <w:kern w:val="2"/>
          <w:sz w:val="28"/>
          <w:szCs w:val="28"/>
          <w:lang w:eastAsia="en-US"/>
        </w:rPr>
        <w:t xml:space="preserve">                            № 89</w:t>
      </w:r>
      <w:r w:rsidR="003D1564" w:rsidRPr="007B08CD">
        <w:rPr>
          <w:rFonts w:eastAsia="DejaVu Sans"/>
          <w:bCs/>
          <w:color w:val="000000"/>
          <w:kern w:val="2"/>
          <w:sz w:val="28"/>
          <w:szCs w:val="28"/>
          <w:lang w:eastAsia="en-US"/>
        </w:rPr>
        <w:t>-п</w:t>
      </w:r>
    </w:p>
    <w:p w:rsidR="007B08CD" w:rsidRDefault="007B08CD" w:rsidP="003D1564">
      <w:pPr>
        <w:keepNext/>
        <w:keepLines/>
        <w:suppressAutoHyphens/>
        <w:jc w:val="center"/>
        <w:rPr>
          <w:rFonts w:eastAsia="DejaVu Sans"/>
          <w:bCs/>
          <w:color w:val="000000"/>
          <w:kern w:val="2"/>
          <w:lang w:eastAsia="en-US"/>
        </w:rPr>
      </w:pPr>
    </w:p>
    <w:p w:rsidR="003D1564" w:rsidRPr="007B08CD" w:rsidRDefault="003D1564" w:rsidP="003D1564">
      <w:pPr>
        <w:keepNext/>
        <w:keepLines/>
        <w:suppressAutoHyphens/>
        <w:jc w:val="center"/>
        <w:rPr>
          <w:rFonts w:eastAsia="DejaVu Sans"/>
          <w:bCs/>
          <w:color w:val="000000"/>
          <w:kern w:val="2"/>
          <w:sz w:val="28"/>
          <w:szCs w:val="28"/>
          <w:lang w:eastAsia="en-US"/>
        </w:rPr>
      </w:pPr>
      <w:r w:rsidRPr="007B08CD">
        <w:rPr>
          <w:rFonts w:eastAsia="DejaVu Sans"/>
          <w:bCs/>
          <w:color w:val="000000"/>
          <w:kern w:val="2"/>
          <w:sz w:val="28"/>
          <w:szCs w:val="28"/>
          <w:lang w:eastAsia="en-US"/>
        </w:rPr>
        <w:t>с. Елизаветинка Черлакского района Омской области</w:t>
      </w:r>
    </w:p>
    <w:p w:rsidR="003D1564" w:rsidRDefault="003D1564"/>
    <w:tbl>
      <w:tblPr>
        <w:tblW w:w="0" w:type="auto"/>
        <w:tblLook w:val="04A0"/>
      </w:tblPr>
      <w:tblGrid>
        <w:gridCol w:w="9355"/>
      </w:tblGrid>
      <w:tr w:rsidR="000F3995" w:rsidRPr="009D44AD" w:rsidTr="00DC31CB">
        <w:tc>
          <w:tcPr>
            <w:tcW w:w="9355" w:type="dxa"/>
            <w:shd w:val="clear" w:color="auto" w:fill="auto"/>
          </w:tcPr>
          <w:p w:rsidR="000F3995" w:rsidRPr="009D44AD" w:rsidRDefault="000F3995" w:rsidP="00A3344E">
            <w:pPr>
              <w:ind w:left="604" w:right="675"/>
              <w:jc w:val="center"/>
              <w:rPr>
                <w:b/>
                <w:sz w:val="28"/>
                <w:szCs w:val="30"/>
              </w:rPr>
            </w:pPr>
            <w:r w:rsidRPr="009D44AD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перечня </w:t>
            </w:r>
            <w:r w:rsidR="00961755" w:rsidRPr="00961755">
              <w:rPr>
                <w:sz w:val="28"/>
                <w:szCs w:val="28"/>
              </w:rPr>
              <w:t xml:space="preserve">главных администраторов доходов </w:t>
            </w:r>
            <w:r w:rsidR="00F37C8C">
              <w:rPr>
                <w:sz w:val="28"/>
                <w:szCs w:val="28"/>
              </w:rPr>
              <w:t xml:space="preserve">местного </w:t>
            </w:r>
            <w:r w:rsidR="00961755" w:rsidRPr="00961755">
              <w:rPr>
                <w:sz w:val="28"/>
                <w:szCs w:val="28"/>
              </w:rPr>
              <w:t xml:space="preserve">бюджета </w:t>
            </w:r>
          </w:p>
        </w:tc>
      </w:tr>
    </w:tbl>
    <w:p w:rsidR="000F3995" w:rsidRPr="009D44AD" w:rsidRDefault="000F3995" w:rsidP="000F3995">
      <w:pPr>
        <w:ind w:left="-180"/>
        <w:jc w:val="both"/>
        <w:rPr>
          <w:sz w:val="28"/>
          <w:szCs w:val="28"/>
        </w:rPr>
      </w:pPr>
    </w:p>
    <w:p w:rsidR="00DC31CB" w:rsidRDefault="000F3995" w:rsidP="00961755">
      <w:pPr>
        <w:ind w:firstLine="567"/>
        <w:jc w:val="both"/>
        <w:rPr>
          <w:sz w:val="28"/>
          <w:szCs w:val="28"/>
        </w:rPr>
      </w:pPr>
      <w:r w:rsidRPr="009D44AD">
        <w:rPr>
          <w:sz w:val="28"/>
          <w:szCs w:val="28"/>
        </w:rPr>
        <w:tab/>
        <w:t>В соответствии с</w:t>
      </w:r>
      <w:r w:rsidR="00961755">
        <w:rPr>
          <w:sz w:val="28"/>
          <w:szCs w:val="28"/>
        </w:rPr>
        <w:t xml:space="preserve"> абзацем 4 пункта 3.2. статьи 160.1</w:t>
      </w:r>
      <w:r w:rsidRPr="009D44AD">
        <w:rPr>
          <w:sz w:val="28"/>
          <w:szCs w:val="28"/>
        </w:rPr>
        <w:t xml:space="preserve"> Бюджетн</w:t>
      </w:r>
      <w:r w:rsidR="00961755">
        <w:rPr>
          <w:sz w:val="28"/>
          <w:szCs w:val="28"/>
        </w:rPr>
        <w:t>ого</w:t>
      </w:r>
      <w:r w:rsidRPr="009D44AD">
        <w:rPr>
          <w:sz w:val="28"/>
          <w:szCs w:val="28"/>
        </w:rPr>
        <w:t xml:space="preserve"> кодекс</w:t>
      </w:r>
      <w:r w:rsidR="00961755">
        <w:rPr>
          <w:sz w:val="28"/>
          <w:szCs w:val="28"/>
        </w:rPr>
        <w:t>а</w:t>
      </w:r>
      <w:r w:rsidRPr="009D44AD">
        <w:rPr>
          <w:sz w:val="28"/>
          <w:szCs w:val="28"/>
        </w:rPr>
        <w:t xml:space="preserve"> Российской Федерации</w:t>
      </w:r>
      <w:r w:rsidR="00DC31CB">
        <w:rPr>
          <w:sz w:val="28"/>
          <w:szCs w:val="28"/>
        </w:rPr>
        <w:t>,</w:t>
      </w:r>
    </w:p>
    <w:p w:rsidR="00DC31CB" w:rsidRDefault="00DC31CB" w:rsidP="00961755">
      <w:pPr>
        <w:ind w:firstLine="567"/>
        <w:jc w:val="both"/>
        <w:rPr>
          <w:sz w:val="28"/>
          <w:szCs w:val="26"/>
        </w:rPr>
      </w:pPr>
    </w:p>
    <w:p w:rsidR="000F3995" w:rsidRPr="009D44AD" w:rsidRDefault="000F3995" w:rsidP="00961755">
      <w:pPr>
        <w:ind w:firstLine="567"/>
        <w:jc w:val="both"/>
        <w:rPr>
          <w:b/>
          <w:sz w:val="26"/>
          <w:szCs w:val="26"/>
        </w:rPr>
      </w:pPr>
      <w:r w:rsidRPr="009D44AD">
        <w:rPr>
          <w:sz w:val="28"/>
          <w:szCs w:val="26"/>
        </w:rPr>
        <w:t>ПОСТАНОВЛЯ</w:t>
      </w:r>
      <w:r w:rsidR="007B08CD">
        <w:rPr>
          <w:sz w:val="28"/>
          <w:szCs w:val="26"/>
        </w:rPr>
        <w:t>Ю</w:t>
      </w:r>
      <w:r w:rsidRPr="009D44AD">
        <w:rPr>
          <w:b/>
          <w:sz w:val="26"/>
          <w:szCs w:val="26"/>
        </w:rPr>
        <w:t>:</w:t>
      </w:r>
    </w:p>
    <w:p w:rsidR="000F3995" w:rsidRPr="009D44AD" w:rsidRDefault="000F3995" w:rsidP="000F3995">
      <w:pPr>
        <w:ind w:left="-180"/>
        <w:jc w:val="both"/>
        <w:rPr>
          <w:sz w:val="28"/>
          <w:szCs w:val="28"/>
        </w:rPr>
      </w:pPr>
    </w:p>
    <w:p w:rsidR="000F3995" w:rsidRPr="00B25494" w:rsidRDefault="00B25494" w:rsidP="00B25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F3995" w:rsidRPr="00B25494">
        <w:rPr>
          <w:sz w:val="28"/>
          <w:szCs w:val="28"/>
        </w:rPr>
        <w:t xml:space="preserve">Утвердить </w:t>
      </w:r>
      <w:r w:rsidR="00A74D62">
        <w:rPr>
          <w:sz w:val="28"/>
          <w:szCs w:val="28"/>
        </w:rPr>
        <w:t>прилагаемый П</w:t>
      </w:r>
      <w:r w:rsidR="00961755" w:rsidRPr="00B25494">
        <w:rPr>
          <w:sz w:val="28"/>
          <w:szCs w:val="28"/>
        </w:rPr>
        <w:t xml:space="preserve">еречень главных администраторов доходов </w:t>
      </w:r>
      <w:r w:rsidR="00F37C8C">
        <w:rPr>
          <w:sz w:val="28"/>
          <w:szCs w:val="28"/>
        </w:rPr>
        <w:t xml:space="preserve">местного </w:t>
      </w:r>
      <w:r w:rsidR="00961755" w:rsidRPr="00B25494">
        <w:rPr>
          <w:sz w:val="28"/>
          <w:szCs w:val="28"/>
        </w:rPr>
        <w:t>бюджета</w:t>
      </w:r>
      <w:r w:rsidR="00A74D62">
        <w:rPr>
          <w:sz w:val="28"/>
          <w:szCs w:val="28"/>
        </w:rPr>
        <w:t>.</w:t>
      </w:r>
      <w:r w:rsidR="00961755" w:rsidRPr="00B25494">
        <w:rPr>
          <w:sz w:val="28"/>
          <w:szCs w:val="28"/>
        </w:rPr>
        <w:t xml:space="preserve"> </w:t>
      </w:r>
    </w:p>
    <w:p w:rsidR="00B25494" w:rsidRPr="00B25494" w:rsidRDefault="00B25494" w:rsidP="00B2549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Признать утратившим силу постановление Администрации Елизаветинского сельского поселения Черлакского муниципального района Омской области от </w:t>
      </w:r>
      <w:r w:rsidR="00327704">
        <w:rPr>
          <w:sz w:val="28"/>
          <w:szCs w:val="28"/>
        </w:rPr>
        <w:t>29.11.2023 года № 77</w:t>
      </w:r>
      <w:r>
        <w:rPr>
          <w:sz w:val="28"/>
          <w:szCs w:val="28"/>
        </w:rPr>
        <w:t>-п «</w:t>
      </w:r>
      <w:r w:rsidR="00327704" w:rsidRPr="00327704">
        <w:rPr>
          <w:sz w:val="28"/>
          <w:szCs w:val="28"/>
        </w:rPr>
        <w:t>Об утверждении перечня главных администраторов доходов местного бюджета</w:t>
      </w:r>
      <w:r>
        <w:rPr>
          <w:sz w:val="28"/>
          <w:szCs w:val="28"/>
        </w:rPr>
        <w:t>».</w:t>
      </w:r>
    </w:p>
    <w:p w:rsidR="000F3995" w:rsidRPr="009D44AD" w:rsidRDefault="00B25494" w:rsidP="00B254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61755">
        <w:rPr>
          <w:sz w:val="28"/>
          <w:szCs w:val="28"/>
        </w:rPr>
        <w:t xml:space="preserve">Настоящее постановление </w:t>
      </w:r>
      <w:proofErr w:type="gramStart"/>
      <w:r w:rsidR="00961755">
        <w:rPr>
          <w:sz w:val="28"/>
          <w:szCs w:val="28"/>
        </w:rPr>
        <w:t xml:space="preserve">применяется к правоотношениям, возникающим при составлении и исполнении бюджета </w:t>
      </w:r>
      <w:r w:rsidR="003D1564">
        <w:rPr>
          <w:sz w:val="28"/>
          <w:szCs w:val="28"/>
        </w:rPr>
        <w:t>Елизаветинского</w:t>
      </w:r>
      <w:r w:rsidR="00961755">
        <w:rPr>
          <w:sz w:val="28"/>
          <w:szCs w:val="28"/>
        </w:rPr>
        <w:t xml:space="preserve"> сельского поселения начиная</w:t>
      </w:r>
      <w:proofErr w:type="gramEnd"/>
      <w:r w:rsidR="00961755">
        <w:rPr>
          <w:sz w:val="28"/>
          <w:szCs w:val="28"/>
        </w:rPr>
        <w:t xml:space="preserve"> с бюджета на 202</w:t>
      </w:r>
      <w:r w:rsidR="00327704">
        <w:rPr>
          <w:sz w:val="28"/>
          <w:szCs w:val="28"/>
        </w:rPr>
        <w:t>5</w:t>
      </w:r>
      <w:r w:rsidR="00961755">
        <w:rPr>
          <w:sz w:val="28"/>
          <w:szCs w:val="28"/>
        </w:rPr>
        <w:t xml:space="preserve"> год и последующие плановые периоды</w:t>
      </w:r>
      <w:r w:rsidR="000F3995" w:rsidRPr="009D44AD">
        <w:rPr>
          <w:sz w:val="28"/>
          <w:szCs w:val="28"/>
        </w:rPr>
        <w:t>.</w:t>
      </w: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5812"/>
      </w:tblGrid>
      <w:tr w:rsidR="000F3995" w:rsidRPr="009D44AD" w:rsidTr="00327704">
        <w:tc>
          <w:tcPr>
            <w:tcW w:w="3652" w:type="dxa"/>
            <w:shd w:val="clear" w:color="auto" w:fill="auto"/>
          </w:tcPr>
          <w:p w:rsidR="000F3995" w:rsidRPr="009D44AD" w:rsidRDefault="000F3995" w:rsidP="004E01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44AD">
              <w:rPr>
                <w:sz w:val="28"/>
                <w:szCs w:val="28"/>
              </w:rPr>
              <w:t xml:space="preserve">Глава </w:t>
            </w:r>
            <w:r w:rsidR="003D1564">
              <w:rPr>
                <w:sz w:val="28"/>
                <w:szCs w:val="28"/>
              </w:rPr>
              <w:t>Елизаветинского</w:t>
            </w:r>
            <w:r w:rsidRPr="009D44A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812" w:type="dxa"/>
            <w:shd w:val="clear" w:color="auto" w:fill="auto"/>
          </w:tcPr>
          <w:p w:rsidR="000F3995" w:rsidRPr="009D44AD" w:rsidRDefault="000F3995" w:rsidP="004E014B">
            <w:pPr>
              <w:autoSpaceDE w:val="0"/>
              <w:autoSpaceDN w:val="0"/>
              <w:adjustRightInd w:val="0"/>
              <w:ind w:right="140"/>
              <w:jc w:val="right"/>
              <w:rPr>
                <w:sz w:val="28"/>
                <w:szCs w:val="28"/>
              </w:rPr>
            </w:pPr>
          </w:p>
          <w:p w:rsidR="000F3995" w:rsidRPr="009D44AD" w:rsidRDefault="00327704" w:rsidP="00327704">
            <w:pPr>
              <w:autoSpaceDE w:val="0"/>
              <w:autoSpaceDN w:val="0"/>
              <w:adjustRightInd w:val="0"/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3D1564">
              <w:rPr>
                <w:sz w:val="28"/>
                <w:szCs w:val="28"/>
              </w:rPr>
              <w:t>Г. Ю. Ольшанская</w:t>
            </w:r>
          </w:p>
        </w:tc>
      </w:tr>
    </w:tbl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rPr>
          <w:sz w:val="28"/>
          <w:szCs w:val="28"/>
        </w:rPr>
      </w:pPr>
      <w:r w:rsidRPr="009D44AD">
        <w:rPr>
          <w:sz w:val="28"/>
          <w:szCs w:val="28"/>
        </w:rPr>
        <w:br w:type="page"/>
      </w:r>
    </w:p>
    <w:p w:rsidR="00133A8F" w:rsidRDefault="00133A8F" w:rsidP="000F3995">
      <w:pPr>
        <w:ind w:left="4678"/>
        <w:jc w:val="both"/>
        <w:rPr>
          <w:rFonts w:eastAsia="Calibri"/>
          <w:sz w:val="28"/>
          <w:szCs w:val="28"/>
          <w:lang w:eastAsia="en-US"/>
        </w:rPr>
        <w:sectPr w:rsidR="00133A8F" w:rsidSect="00923F83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DC31CB" w:rsidRDefault="000F3995" w:rsidP="000F3995">
      <w:pPr>
        <w:ind w:left="4678"/>
        <w:jc w:val="both"/>
        <w:rPr>
          <w:rFonts w:eastAsia="Calibri"/>
          <w:sz w:val="28"/>
          <w:szCs w:val="28"/>
          <w:lang w:eastAsia="en-US"/>
        </w:rPr>
      </w:pPr>
      <w:r w:rsidRPr="009D44AD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0F3995" w:rsidRPr="009D44AD" w:rsidRDefault="000F3995" w:rsidP="002F51AA">
      <w:pPr>
        <w:ind w:left="4678"/>
        <w:jc w:val="both"/>
        <w:rPr>
          <w:rFonts w:eastAsia="Calibri"/>
          <w:sz w:val="28"/>
          <w:szCs w:val="28"/>
          <w:lang w:eastAsia="en-US"/>
        </w:rPr>
      </w:pPr>
      <w:r w:rsidRPr="009D44AD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  <w:r w:rsidR="003D1564">
        <w:rPr>
          <w:rFonts w:eastAsia="Calibri"/>
          <w:sz w:val="28"/>
          <w:szCs w:val="28"/>
          <w:lang w:eastAsia="en-US"/>
        </w:rPr>
        <w:t>Елизаветинского</w:t>
      </w:r>
      <w:r w:rsidRPr="009D44AD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2F51AA" w:rsidRDefault="002F51AA" w:rsidP="000F3995">
      <w:pPr>
        <w:jc w:val="center"/>
        <w:rPr>
          <w:smallCaps/>
          <w:sz w:val="28"/>
        </w:rPr>
      </w:pPr>
    </w:p>
    <w:p w:rsidR="002F51AA" w:rsidRDefault="002F51AA" w:rsidP="000F3995">
      <w:pPr>
        <w:jc w:val="center"/>
        <w:rPr>
          <w:smallCaps/>
          <w:sz w:val="28"/>
        </w:rPr>
      </w:pPr>
    </w:p>
    <w:p w:rsidR="000F3995" w:rsidRPr="00093FCB" w:rsidRDefault="000F3995" w:rsidP="000F3995">
      <w:pPr>
        <w:jc w:val="center"/>
        <w:rPr>
          <w:smallCaps/>
          <w:sz w:val="28"/>
        </w:rPr>
      </w:pPr>
      <w:r w:rsidRPr="00093FCB">
        <w:rPr>
          <w:smallCaps/>
          <w:sz w:val="28"/>
        </w:rPr>
        <w:t>П</w:t>
      </w:r>
      <w:r w:rsidR="006C17AF" w:rsidRPr="00093FCB">
        <w:rPr>
          <w:smallCaps/>
          <w:sz w:val="28"/>
        </w:rPr>
        <w:t>ЕРЕЧЕНЬ</w:t>
      </w:r>
    </w:p>
    <w:p w:rsidR="000F3995" w:rsidRPr="00093FCB" w:rsidRDefault="006C17AF" w:rsidP="006C17AF">
      <w:pPr>
        <w:ind w:left="567" w:right="566"/>
        <w:jc w:val="center"/>
      </w:pPr>
      <w:r w:rsidRPr="00093FCB">
        <w:rPr>
          <w:sz w:val="28"/>
          <w:szCs w:val="28"/>
        </w:rPr>
        <w:t xml:space="preserve">главных администраторов доходов местного бюджета </w:t>
      </w:r>
    </w:p>
    <w:p w:rsidR="004E014B" w:rsidRDefault="004E014B" w:rsidP="006C17AF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688"/>
        <w:gridCol w:w="4717"/>
        <w:gridCol w:w="487"/>
        <w:gridCol w:w="488"/>
        <w:gridCol w:w="551"/>
        <w:gridCol w:w="695"/>
        <w:gridCol w:w="555"/>
        <w:gridCol w:w="696"/>
        <w:gridCol w:w="693"/>
      </w:tblGrid>
      <w:tr w:rsidR="006C17AF" w:rsidRPr="00DC31CB" w:rsidTr="004D538C">
        <w:trPr>
          <w:trHeight w:val="67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Код главного администратора доходов местного бюджета</w:t>
            </w:r>
          </w:p>
        </w:tc>
        <w:tc>
          <w:tcPr>
            <w:tcW w:w="2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Наименование главных администраторов доходов местного бюджета и закрепляемых за нами видов (подвидов) доходов местного бюджета</w:t>
            </w:r>
          </w:p>
        </w:tc>
        <w:tc>
          <w:tcPr>
            <w:tcW w:w="14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Код вида доходов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17AF" w:rsidRPr="00DC31CB" w:rsidRDefault="006C17AF" w:rsidP="00EA6F25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Код подвида доходов</w:t>
            </w:r>
          </w:p>
        </w:tc>
      </w:tr>
      <w:tr w:rsidR="006C17AF" w:rsidRPr="00DC31CB" w:rsidTr="004D538C">
        <w:trPr>
          <w:trHeight w:val="2123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AF" w:rsidRPr="00DC31CB" w:rsidRDefault="006C17AF" w:rsidP="006C17AF">
            <w:pPr>
              <w:rPr>
                <w:sz w:val="20"/>
                <w:szCs w:val="20"/>
              </w:rPr>
            </w:pPr>
          </w:p>
        </w:tc>
        <w:tc>
          <w:tcPr>
            <w:tcW w:w="2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AF" w:rsidRPr="00DC31CB" w:rsidRDefault="006C17AF" w:rsidP="006C17A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8150D8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Группа подвид доходов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DC31CB" w:rsidRDefault="006C17AF" w:rsidP="008150D8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Аналитическая группа подвида доходов</w:t>
            </w:r>
          </w:p>
        </w:tc>
      </w:tr>
      <w:tr w:rsidR="006C17AF" w:rsidRPr="00DC31CB" w:rsidTr="004D538C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1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C31CB" w:rsidRDefault="006C17AF" w:rsidP="006C17AF">
            <w:pPr>
              <w:jc w:val="center"/>
              <w:rPr>
                <w:sz w:val="20"/>
                <w:szCs w:val="20"/>
              </w:rPr>
            </w:pPr>
            <w:r w:rsidRPr="00DC31CB">
              <w:rPr>
                <w:sz w:val="20"/>
                <w:szCs w:val="20"/>
              </w:rPr>
              <w:t>9</w:t>
            </w:r>
          </w:p>
        </w:tc>
      </w:tr>
      <w:tr w:rsidR="006C17AF" w:rsidRPr="004412AC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AF" w:rsidRPr="00D87C8E" w:rsidRDefault="006C17AF" w:rsidP="006C17AF">
            <w:r w:rsidRPr="00D87C8E"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</w:tr>
      <w:tr w:rsidR="006C17AF" w:rsidRPr="00DC31CB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D87C8E" w:rsidRDefault="006C17AF" w:rsidP="006C17AF">
            <w:r w:rsidRPr="00D87C8E">
              <w:t>Управление Федеральной налоговой службы по Омской области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D87C8E" w:rsidRDefault="006C17AF" w:rsidP="006C17AF">
            <w:pPr>
              <w:jc w:val="center"/>
            </w:pPr>
            <w:r w:rsidRPr="00D87C8E">
              <w:t> 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36470" w:rsidP="00391E37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статьями 227</w:t>
              </w:r>
            </w:hyperlink>
            <w:r w:rsidRPr="00A96328">
              <w:rPr>
                <w:shd w:val="clear" w:color="auto" w:fill="FFFFFF"/>
              </w:rPr>
              <w:t>, </w:t>
            </w:r>
            <w:hyperlink r:id="rId10" w:anchor="/document/10900200/entry/22701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227.1</w:t>
              </w:r>
            </w:hyperlink>
            <w:r w:rsidRPr="00A96328">
              <w:rPr>
                <w:shd w:val="clear" w:color="auto" w:fill="FFFFFF"/>
              </w:rPr>
              <w:t> и </w:t>
            </w:r>
            <w:hyperlink r:id="rId11" w:anchor="/document/10900200/entry/228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228</w:t>
              </w:r>
            </w:hyperlink>
            <w:r w:rsidRPr="00A96328">
              <w:rPr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96328">
              <w:rPr>
                <w:shd w:val="clear" w:color="auto" w:fill="FFFFFF"/>
              </w:rPr>
              <w:t xml:space="preserve"> соответствующему платежу, в том числе </w:t>
            </w:r>
            <w:proofErr w:type="gramStart"/>
            <w:r w:rsidRPr="00A96328">
              <w:rPr>
                <w:shd w:val="clear" w:color="auto" w:fill="FFFFFF"/>
              </w:rPr>
              <w:t>по</w:t>
            </w:r>
            <w:proofErr w:type="gramEnd"/>
            <w:r w:rsidRPr="00A96328">
              <w:rPr>
                <w:shd w:val="clear" w:color="auto" w:fill="FFFFFF"/>
              </w:rPr>
              <w:t xml:space="preserve"> отмененному)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17AF" w:rsidRPr="00A96328" w:rsidRDefault="005737A2" w:rsidP="006C17AF">
            <w:pPr>
              <w:jc w:val="center"/>
            </w:pPr>
            <w:r w:rsidRPr="00A96328">
              <w:t>1000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110</w:t>
            </w:r>
          </w:p>
        </w:tc>
      </w:tr>
      <w:tr w:rsidR="00636470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70" w:rsidRPr="00A96328" w:rsidRDefault="00636470" w:rsidP="00391E37">
            <w:pPr>
              <w:pStyle w:val="aa"/>
              <w:spacing w:before="0" w:beforeAutospacing="0" w:after="0" w:afterAutospacing="0" w:line="180" w:lineRule="atLeast"/>
              <w:jc w:val="both"/>
              <w:rPr>
                <w:shd w:val="clear" w:color="auto" w:fill="FFFFFF"/>
              </w:rPr>
            </w:pPr>
            <w:proofErr w:type="gramStart"/>
            <w:r w:rsidRPr="00A96328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/document/10900200/entry/227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статьями 227</w:t>
              </w:r>
            </w:hyperlink>
            <w:r w:rsidRPr="00A96328">
              <w:rPr>
                <w:shd w:val="clear" w:color="auto" w:fill="FFFFFF"/>
              </w:rPr>
              <w:t>, </w:t>
            </w:r>
            <w:hyperlink r:id="rId13" w:anchor="/document/10900200/entry/22701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227.1</w:t>
              </w:r>
            </w:hyperlink>
            <w:r w:rsidRPr="00A96328">
              <w:rPr>
                <w:shd w:val="clear" w:color="auto" w:fill="FFFFFF"/>
              </w:rPr>
              <w:t> и </w:t>
            </w:r>
            <w:hyperlink r:id="rId14" w:anchor="/document/10900200/entry/228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228</w:t>
              </w:r>
            </w:hyperlink>
            <w:r w:rsidRPr="00A96328">
              <w:rPr>
                <w:shd w:val="clear" w:color="auto" w:fill="FFFFFF"/>
              </w:rPr>
              <w:t xml:space="preserve"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</w:t>
            </w:r>
            <w:r w:rsidRPr="00A96328">
              <w:rPr>
                <w:shd w:val="clear" w:color="auto" w:fill="FFFFFF"/>
              </w:rPr>
              <w:lastRenderedPageBreak/>
              <w:t>налога на доходы физических лиц</w:t>
            </w:r>
            <w:proofErr w:type="gramEnd"/>
            <w:r w:rsidRPr="00A96328">
              <w:rPr>
                <w:shd w:val="clear" w:color="auto" w:fill="FFFFFF"/>
              </w:rPr>
              <w:t xml:space="preserve">, </w:t>
            </w:r>
            <w:proofErr w:type="gramStart"/>
            <w:r w:rsidRPr="00A96328">
              <w:rPr>
                <w:shd w:val="clear" w:color="auto" w:fill="FFFFFF"/>
              </w:rPr>
              <w:t>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1010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110</w:t>
            </w:r>
          </w:p>
        </w:tc>
      </w:tr>
      <w:tr w:rsidR="009640C2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lastRenderedPageBreak/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C2" w:rsidRPr="00A96328" w:rsidRDefault="00636470" w:rsidP="00AA5339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5" w:anchor="/document/10900200/entry/227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статьями 227</w:t>
              </w:r>
            </w:hyperlink>
            <w:r w:rsidRPr="00A96328">
              <w:rPr>
                <w:shd w:val="clear" w:color="auto" w:fill="FFFFFF"/>
              </w:rPr>
              <w:t>, </w:t>
            </w:r>
            <w:hyperlink r:id="rId16" w:anchor="/document/10900200/entry/22701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227.1</w:t>
              </w:r>
            </w:hyperlink>
            <w:r w:rsidRPr="00A96328">
              <w:rPr>
                <w:shd w:val="clear" w:color="auto" w:fill="FFFFFF"/>
              </w:rPr>
              <w:t> и </w:t>
            </w:r>
            <w:hyperlink r:id="rId17" w:anchor="/document/10900200/entry/228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228</w:t>
              </w:r>
            </w:hyperlink>
            <w:r w:rsidRPr="00A96328">
              <w:rPr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A96328">
              <w:rPr>
                <w:shd w:val="clear" w:color="auto" w:fill="FFFFFF"/>
              </w:rPr>
              <w:t xml:space="preserve">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3000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110</w:t>
            </w:r>
          </w:p>
        </w:tc>
      </w:tr>
      <w:tr w:rsidR="00636470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70" w:rsidRPr="00A96328" w:rsidRDefault="00636470" w:rsidP="00AA5339">
            <w:pPr>
              <w:pStyle w:val="aa"/>
              <w:spacing w:before="0" w:beforeAutospacing="0" w:after="0" w:afterAutospacing="0" w:line="180" w:lineRule="atLeast"/>
              <w:jc w:val="both"/>
              <w:rPr>
                <w:shd w:val="clear" w:color="auto" w:fill="FFFFFF"/>
              </w:rPr>
            </w:pPr>
            <w:proofErr w:type="gramStart"/>
            <w:r w:rsidRPr="00A96328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8" w:anchor="/document/10900200/entry/227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статьями 227</w:t>
              </w:r>
            </w:hyperlink>
            <w:r w:rsidRPr="00A96328">
              <w:rPr>
                <w:shd w:val="clear" w:color="auto" w:fill="FFFFFF"/>
              </w:rPr>
              <w:t>, </w:t>
            </w:r>
            <w:hyperlink r:id="rId19" w:anchor="/document/10900200/entry/22701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227.1</w:t>
              </w:r>
            </w:hyperlink>
            <w:r w:rsidRPr="00A96328">
              <w:rPr>
                <w:shd w:val="clear" w:color="auto" w:fill="FFFFFF"/>
              </w:rPr>
              <w:t> и </w:t>
            </w:r>
            <w:hyperlink r:id="rId20" w:anchor="/document/10900200/entry/228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228</w:t>
              </w:r>
            </w:hyperlink>
            <w:r w:rsidRPr="00A96328">
              <w:rPr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налога на доходы физических лиц</w:t>
            </w:r>
            <w:proofErr w:type="gramEnd"/>
            <w:r w:rsidRPr="00A96328">
              <w:rPr>
                <w:shd w:val="clear" w:color="auto" w:fill="FFFFFF"/>
              </w:rPr>
              <w:t>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3010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110</w:t>
            </w:r>
          </w:p>
        </w:tc>
      </w:tr>
      <w:tr w:rsidR="009640C2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C2" w:rsidRPr="00A96328" w:rsidRDefault="00AA5339" w:rsidP="00AA5339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A96328">
              <w:lastRenderedPageBreak/>
              <w:t xml:space="preserve">соответствии со </w:t>
            </w:r>
            <w:hyperlink r:id="rId21" w:history="1">
              <w:r w:rsidRPr="00A96328">
                <w:rPr>
                  <w:rStyle w:val="ab"/>
                  <w:color w:val="auto"/>
                </w:rPr>
                <w:t>статьей 227</w:t>
              </w:r>
            </w:hyperlink>
            <w:r w:rsidRPr="00A96328"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110</w:t>
            </w:r>
          </w:p>
        </w:tc>
      </w:tr>
      <w:tr w:rsidR="005737A2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37A2" w:rsidRPr="00A96328" w:rsidRDefault="005737A2" w:rsidP="006C17AF">
            <w:pPr>
              <w:jc w:val="center"/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7A2" w:rsidRPr="00A96328" w:rsidRDefault="00473E06" w:rsidP="006C17AF">
            <w:r w:rsidRPr="00A9632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</w:t>
            </w:r>
            <w:proofErr w:type="gramStart"/>
            <w:r w:rsidRPr="00A96328">
              <w:t>согласно законодательства</w:t>
            </w:r>
            <w:proofErr w:type="gramEnd"/>
            <w:r w:rsidRPr="00A96328">
              <w:t xml:space="preserve">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37A2" w:rsidRPr="00A96328" w:rsidRDefault="00CD58B5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37A2" w:rsidRPr="00A96328" w:rsidRDefault="00CD58B5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37A2" w:rsidRPr="00A96328" w:rsidRDefault="00CD58B5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37A2" w:rsidRPr="00A96328" w:rsidRDefault="00CD58B5" w:rsidP="006C17AF">
            <w:pPr>
              <w:jc w:val="center"/>
            </w:pPr>
            <w:r w:rsidRPr="00A96328">
              <w:t>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737A2" w:rsidRPr="00A96328" w:rsidRDefault="00CD58B5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737A2" w:rsidRPr="00A96328" w:rsidRDefault="005737A2" w:rsidP="006C17AF">
            <w:pPr>
              <w:jc w:val="center"/>
            </w:pPr>
            <w:r w:rsidRPr="00A96328">
              <w:t>3000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7A2" w:rsidRPr="00A96328" w:rsidRDefault="00AA5339" w:rsidP="006C17AF">
            <w:pPr>
              <w:jc w:val="center"/>
            </w:pPr>
            <w:r w:rsidRPr="00A96328">
              <w:t>110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36470" w:rsidP="00B25C3F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rPr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2" w:anchor="/document/10900200/entry/228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статьей 228</w:t>
              </w:r>
            </w:hyperlink>
            <w:r w:rsidRPr="00A96328">
              <w:rPr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17AF" w:rsidRPr="00A96328" w:rsidRDefault="00CD58B5" w:rsidP="006C17AF">
            <w:pPr>
              <w:jc w:val="center"/>
            </w:pPr>
            <w:r w:rsidRPr="00A96328">
              <w:t>1</w:t>
            </w:r>
            <w:r w:rsidR="006C17AF" w:rsidRPr="00A96328">
              <w:t>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110</w:t>
            </w:r>
          </w:p>
        </w:tc>
      </w:tr>
      <w:tr w:rsidR="009640C2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C2" w:rsidRPr="00A96328" w:rsidRDefault="00636470" w:rsidP="00B25C3F">
            <w:pPr>
              <w:pStyle w:val="aa"/>
              <w:spacing w:before="0" w:beforeAutospacing="0" w:after="0" w:afterAutospacing="0" w:line="180" w:lineRule="atLeast"/>
              <w:jc w:val="both"/>
            </w:pPr>
            <w:r w:rsidRPr="00A96328">
              <w:rPr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23" w:anchor="/document/10900200/entry/228" w:history="1">
              <w:r w:rsidRPr="00A96328">
                <w:rPr>
                  <w:rStyle w:val="ab"/>
                  <w:color w:val="auto"/>
                  <w:shd w:val="clear" w:color="auto" w:fill="FFFFFF"/>
                </w:rPr>
                <w:t>статьей 228</w:t>
              </w:r>
            </w:hyperlink>
            <w:r w:rsidRPr="00A96328">
              <w:rPr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3000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0C2" w:rsidRPr="00A96328" w:rsidRDefault="009640C2" w:rsidP="006C17AF">
            <w:pPr>
              <w:jc w:val="center"/>
            </w:pPr>
            <w:r w:rsidRPr="00A96328">
              <w:t>110</w:t>
            </w:r>
          </w:p>
        </w:tc>
      </w:tr>
      <w:tr w:rsidR="003F2148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48" w:rsidRPr="00A96328" w:rsidRDefault="003F2148" w:rsidP="006C17AF">
            <w:r w:rsidRPr="00A9632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231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148" w:rsidRPr="00A96328" w:rsidRDefault="003F2148" w:rsidP="006C17AF">
            <w:pPr>
              <w:jc w:val="center"/>
            </w:pPr>
            <w:r w:rsidRPr="00A96328">
              <w:t>110</w:t>
            </w:r>
          </w:p>
        </w:tc>
      </w:tr>
      <w:tr w:rsidR="003F2148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148" w:rsidRPr="00A96328" w:rsidRDefault="004D538C" w:rsidP="006C17AF">
            <w:r w:rsidRPr="00A96328">
              <w:t>Доходы от уплаты акцизов на моторные масла для дизельных и (или) карбюраторных (</w:t>
            </w:r>
            <w:proofErr w:type="spellStart"/>
            <w:r w:rsidRPr="00A96328">
              <w:t>инжекторных</w:t>
            </w:r>
            <w:proofErr w:type="spellEnd"/>
            <w:r w:rsidRPr="00A96328">
              <w:t xml:space="preserve">) двигателей, подлежащие распределению между </w:t>
            </w:r>
            <w:r w:rsidRPr="00A96328"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241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2148" w:rsidRPr="00A96328" w:rsidRDefault="004D538C" w:rsidP="006C17AF">
            <w:pPr>
              <w:jc w:val="center"/>
            </w:pPr>
            <w:r w:rsidRPr="00A96328">
              <w:t>110</w:t>
            </w:r>
          </w:p>
        </w:tc>
      </w:tr>
      <w:tr w:rsidR="004D538C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38C" w:rsidRPr="00A96328" w:rsidRDefault="004D538C" w:rsidP="006C17AF">
            <w:pPr>
              <w:jc w:val="center"/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8C" w:rsidRPr="00A96328" w:rsidRDefault="004D538C" w:rsidP="006C17AF">
            <w:r w:rsidRPr="00A9632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251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38C" w:rsidRPr="00A96328" w:rsidRDefault="004D538C" w:rsidP="006C17AF">
            <w:pPr>
              <w:jc w:val="center"/>
            </w:pPr>
            <w:r w:rsidRPr="00A96328">
              <w:t>110</w:t>
            </w:r>
          </w:p>
        </w:tc>
      </w:tr>
      <w:tr w:rsidR="004D538C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538C" w:rsidRPr="00A96328" w:rsidRDefault="004D538C" w:rsidP="004D538C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8C" w:rsidRPr="00A96328" w:rsidRDefault="00950DEA" w:rsidP="006C17AF">
            <w:r w:rsidRPr="00A9632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261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38C" w:rsidRPr="00A96328" w:rsidRDefault="00950DEA" w:rsidP="006C17AF">
            <w:pPr>
              <w:jc w:val="center"/>
            </w:pPr>
            <w:r w:rsidRPr="00A96328">
              <w:t>110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38202E" w:rsidP="0038202E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17AF" w:rsidRPr="00A96328" w:rsidRDefault="00CD58B5" w:rsidP="006C17AF">
            <w:pPr>
              <w:jc w:val="center"/>
            </w:pPr>
            <w:r w:rsidRPr="00A96328">
              <w:t>1</w:t>
            </w:r>
            <w:r w:rsidR="006C17AF" w:rsidRPr="00A96328">
              <w:t>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110</w:t>
            </w:r>
          </w:p>
        </w:tc>
      </w:tr>
      <w:tr w:rsidR="00B25C3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5C3F" w:rsidRPr="00A96328" w:rsidRDefault="0038202E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C3F" w:rsidRPr="00A96328" w:rsidRDefault="0038202E" w:rsidP="0038202E">
            <w:pPr>
              <w:pStyle w:val="aa"/>
              <w:spacing w:before="0" w:beforeAutospacing="0" w:after="0" w:afterAutospacing="0" w:line="180" w:lineRule="atLeast"/>
              <w:jc w:val="both"/>
            </w:pPr>
            <w:r w:rsidRPr="00A96328"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3000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3F" w:rsidRPr="00A96328" w:rsidRDefault="00B25C3F" w:rsidP="006C17AF">
            <w:pPr>
              <w:jc w:val="center"/>
            </w:pPr>
            <w:r w:rsidRPr="00A96328">
              <w:t>110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FA2441" w:rsidP="00FA2441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CD58B5" w:rsidP="006C17AF">
            <w:pPr>
              <w:jc w:val="center"/>
            </w:pPr>
            <w:r w:rsidRPr="00A96328">
              <w:t>1</w:t>
            </w:r>
            <w:r w:rsidR="006C17AF" w:rsidRPr="00A96328">
              <w:t>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110</w:t>
            </w:r>
          </w:p>
        </w:tc>
      </w:tr>
      <w:tr w:rsidR="00FA2441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41" w:rsidRPr="00A96328" w:rsidRDefault="00CE1221" w:rsidP="00FA2441">
            <w:pPr>
              <w:pStyle w:val="aa"/>
              <w:spacing w:before="0" w:beforeAutospacing="0" w:after="0" w:afterAutospacing="0" w:line="180" w:lineRule="atLeast"/>
              <w:jc w:val="both"/>
            </w:pPr>
            <w:r w:rsidRPr="00A96328"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</w:t>
            </w:r>
            <w:r w:rsidRPr="00A96328">
              <w:lastRenderedPageBreak/>
              <w:t>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3000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2441" w:rsidRPr="00A96328" w:rsidRDefault="00FA2441" w:rsidP="006C17AF">
            <w:pPr>
              <w:jc w:val="center"/>
            </w:pPr>
            <w:r w:rsidRPr="00A96328">
              <w:t>110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lastRenderedPageBreak/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F4276" w:rsidP="006F4276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17AF" w:rsidRPr="00A96328" w:rsidRDefault="008623E7" w:rsidP="006C17AF">
            <w:pPr>
              <w:jc w:val="center"/>
            </w:pPr>
            <w:r w:rsidRPr="00A96328">
              <w:t>1</w:t>
            </w:r>
            <w:r w:rsidR="00CD58B5" w:rsidRPr="00A96328">
              <w:t>0</w:t>
            </w:r>
            <w:r w:rsidR="006C17AF" w:rsidRPr="00A96328">
              <w:t>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110</w:t>
            </w:r>
          </w:p>
        </w:tc>
      </w:tr>
      <w:tr w:rsidR="008623E7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23E7" w:rsidRPr="00A96328" w:rsidRDefault="003F6DCA" w:rsidP="006C17AF">
            <w:pPr>
              <w:jc w:val="center"/>
              <w:rPr>
                <w:lang w:val="en-US"/>
              </w:rPr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3E7" w:rsidRPr="00A96328" w:rsidRDefault="003F6DCA" w:rsidP="003F6DCA">
            <w:pPr>
              <w:pStyle w:val="aa"/>
              <w:spacing w:before="0" w:beforeAutospacing="0" w:after="0" w:afterAutospacing="0" w:line="180" w:lineRule="atLeast"/>
              <w:jc w:val="both"/>
            </w:pPr>
            <w:r w:rsidRPr="00A96328"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033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3000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3E7" w:rsidRPr="00A96328" w:rsidRDefault="008623E7" w:rsidP="006C17AF">
            <w:pPr>
              <w:jc w:val="center"/>
            </w:pPr>
            <w:r w:rsidRPr="00A96328">
              <w:t>110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750363" w:rsidP="00750363">
            <w:pPr>
              <w:pStyle w:val="aa"/>
              <w:spacing w:before="0" w:beforeAutospacing="0" w:after="0" w:afterAutospacing="0" w:line="180" w:lineRule="atLeast"/>
              <w:jc w:val="both"/>
            </w:pPr>
            <w:proofErr w:type="gramStart"/>
            <w:r w:rsidRPr="00A96328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043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6C17AF" w:rsidRPr="00A96328" w:rsidRDefault="00CD58B5" w:rsidP="006C17AF">
            <w:pPr>
              <w:jc w:val="center"/>
            </w:pPr>
            <w:r w:rsidRPr="00A96328">
              <w:t>1</w:t>
            </w:r>
            <w:r w:rsidR="006C17AF" w:rsidRPr="00A96328">
              <w:t>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110</w:t>
            </w:r>
          </w:p>
        </w:tc>
      </w:tr>
      <w:tr w:rsidR="00A87803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182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803" w:rsidRPr="00A96328" w:rsidRDefault="00750363" w:rsidP="00A87803">
            <w:pPr>
              <w:pStyle w:val="aa"/>
              <w:spacing w:before="0" w:beforeAutospacing="0" w:after="0" w:afterAutospacing="0" w:line="180" w:lineRule="atLeast"/>
              <w:jc w:val="both"/>
            </w:pPr>
            <w:r w:rsidRPr="00A96328"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043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3000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7803" w:rsidRPr="00A96328" w:rsidRDefault="00A87803" w:rsidP="006C17AF">
            <w:pPr>
              <w:jc w:val="center"/>
              <w:rPr>
                <w:lang w:val="en-US"/>
              </w:rPr>
            </w:pPr>
            <w:r w:rsidRPr="00A96328">
              <w:rPr>
                <w:lang w:val="en-US"/>
              </w:rPr>
              <w:t>110</w:t>
            </w:r>
          </w:p>
        </w:tc>
      </w:tr>
      <w:tr w:rsidR="004412AC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12AC" w:rsidRPr="00A96328" w:rsidRDefault="004412AC" w:rsidP="006C17AF">
            <w:pPr>
              <w:jc w:val="center"/>
              <w:rPr>
                <w:lang w:val="en-US"/>
              </w:rPr>
            </w:pP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AC" w:rsidRPr="00A96328" w:rsidRDefault="004412AC" w:rsidP="00552391">
            <w:pPr>
              <w:pStyle w:val="aa"/>
              <w:spacing w:before="0" w:beforeAutospacing="0" w:after="0" w:afterAutospacing="0" w:line="180" w:lineRule="atLeast"/>
            </w:pPr>
            <w:r w:rsidRPr="00A96328">
              <w:t>Главный администратор доходов местного бюджета – органы местного самоуправления Черлакского района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2AC" w:rsidRPr="00A96328" w:rsidRDefault="004412AC" w:rsidP="006C17AF">
            <w:pPr>
              <w:jc w:val="center"/>
            </w:pP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 xml:space="preserve">Администрация </w:t>
            </w:r>
            <w:r w:rsidR="003D1564" w:rsidRPr="00A96328">
              <w:t>Елизаветинского</w:t>
            </w:r>
            <w:r w:rsidRPr="00A96328">
              <w:t xml:space="preserve"> сельского поселения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 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Государственная пошлина за совершение нотариальных действий должностными лицами органов местного самоуправления, уполномоченными в с</w:t>
            </w:r>
            <w:bookmarkStart w:id="0" w:name="_GoBack"/>
            <w:r w:rsidRPr="00A96328">
              <w:t>о</w:t>
            </w:r>
            <w:bookmarkEnd w:id="0"/>
            <w:r w:rsidRPr="00A96328">
              <w:t>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proofErr w:type="gramStart"/>
            <w:r w:rsidRPr="00A9632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120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 xml:space="preserve">Доходы от сдачи в аренду имущества, находящегося в оперативном управлении </w:t>
            </w:r>
            <w:r w:rsidRPr="00A96328">
              <w:lastRenderedPageBreak/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120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lastRenderedPageBreak/>
              <w:t>602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120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 xml:space="preserve">Доходы от эксплуатации и использования </w:t>
            </w:r>
            <w:proofErr w:type="gramStart"/>
            <w:r w:rsidRPr="00A96328">
              <w:t>имущества</w:t>
            </w:r>
            <w:proofErr w:type="gramEnd"/>
            <w:r w:rsidRPr="00A96328"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035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120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120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995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130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доходы от компенсации затрат бюджетов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995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130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430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C17AF" w:rsidP="0023713B">
            <w:r w:rsidRPr="00A96328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r w:rsidR="0023713B" w:rsidRPr="00A96328">
              <w:t xml:space="preserve">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052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440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 </w:t>
            </w:r>
            <w:r w:rsidR="003D1564"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C17AF" w:rsidP="006C17AF">
            <w:r w:rsidRPr="00A9632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440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140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 xml:space="preserve"> </w:t>
            </w:r>
            <w:proofErr w:type="gramStart"/>
            <w:r w:rsidRPr="00A96328">
              <w:t xml:space="preserve">Штрафы, неустойки, пени, уплаченные в </w:t>
            </w:r>
            <w:r w:rsidRPr="00A96328"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lastRenderedPageBreak/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140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lastRenderedPageBreak/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140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140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Невыясненные поступления, зачисляемые в бюджеты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180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180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неналоговые доходы бюджетов сельских поселений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180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C17AF" w:rsidP="006C17AF">
            <w:r w:rsidRPr="00A96328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001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pPr>
              <w:jc w:val="center"/>
            </w:pPr>
            <w:r w:rsidRPr="00A96328">
              <w:t> </w:t>
            </w:r>
            <w:r w:rsidR="003D1564"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дотации бюджетам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999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36470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470" w:rsidRPr="00A96328" w:rsidRDefault="00636470" w:rsidP="006C17AF">
            <w:r w:rsidRPr="00A96328">
              <w:rPr>
                <w:shd w:val="clear" w:color="auto" w:fill="FFFFFF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372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70" w:rsidRPr="00A96328" w:rsidRDefault="00636470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A96328" w:rsidRDefault="006C17AF" w:rsidP="006C17AF">
            <w:r w:rsidRPr="00A96328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467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субсидии бюджетам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999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1415B3" w:rsidP="001415B3">
            <w:pPr>
              <w:pStyle w:val="aa"/>
              <w:spacing w:before="0" w:beforeAutospacing="0" w:after="0" w:afterAutospacing="0" w:line="180" w:lineRule="atLeast"/>
              <w:jc w:val="both"/>
            </w:pPr>
            <w:r w:rsidRPr="00A96328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A96328">
              <w:lastRenderedPageBreak/>
              <w:t>округов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lastRenderedPageBreak/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35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lastRenderedPageBreak/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субвенции бюджетам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39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999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межбюджетные трансферты, передаваемые бюджетам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49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999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Прочие безвозмездные поступления в бюджеты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A96328" w:rsidTr="004D538C">
        <w:trPr>
          <w:trHeight w:val="2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150</w:t>
            </w:r>
          </w:p>
        </w:tc>
      </w:tr>
      <w:tr w:rsidR="006C17AF" w:rsidRPr="00DC31CB" w:rsidTr="004D538C">
        <w:trPr>
          <w:trHeight w:val="2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C17AF" w:rsidRPr="00A96328" w:rsidRDefault="003D1564" w:rsidP="006C17AF">
            <w:pPr>
              <w:jc w:val="center"/>
            </w:pPr>
            <w:r w:rsidRPr="00A96328">
              <w:t>602</w:t>
            </w:r>
          </w:p>
        </w:tc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A96328" w:rsidRDefault="006C17AF" w:rsidP="006C17AF">
            <w:r w:rsidRPr="00A9632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A96328" w:rsidRDefault="006C17AF" w:rsidP="006C17AF">
            <w:r w:rsidRPr="00A96328">
              <w:t>0000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D87C8E" w:rsidRDefault="006C17AF" w:rsidP="006C17AF">
            <w:r w:rsidRPr="00A96328">
              <w:t>150</w:t>
            </w:r>
          </w:p>
        </w:tc>
      </w:tr>
    </w:tbl>
    <w:p w:rsidR="000F3995" w:rsidRDefault="000F3995">
      <w:pPr>
        <w:rPr>
          <w:sz w:val="28"/>
          <w:szCs w:val="28"/>
        </w:rPr>
      </w:pPr>
    </w:p>
    <w:p w:rsidR="000F3995" w:rsidRDefault="000F3995">
      <w:pPr>
        <w:rPr>
          <w:sz w:val="28"/>
          <w:szCs w:val="28"/>
        </w:rPr>
      </w:pPr>
    </w:p>
    <w:p w:rsidR="000F3995" w:rsidRPr="000F3995" w:rsidRDefault="000F3995">
      <w:pPr>
        <w:rPr>
          <w:sz w:val="28"/>
          <w:szCs w:val="28"/>
        </w:rPr>
      </w:pPr>
    </w:p>
    <w:sectPr w:rsidR="000F3995" w:rsidRPr="000F3995" w:rsidSect="00DC31CB">
      <w:pgSz w:w="11906" w:h="16838"/>
      <w:pgMar w:top="1134" w:right="851" w:bottom="1134" w:left="170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C1" w:rsidRDefault="00083DC1" w:rsidP="004D1B3F">
      <w:r>
        <w:separator/>
      </w:r>
    </w:p>
  </w:endnote>
  <w:endnote w:type="continuationSeparator" w:id="0">
    <w:p w:rsidR="00083DC1" w:rsidRDefault="00083DC1" w:rsidP="004D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C1" w:rsidRDefault="00083DC1" w:rsidP="004D1B3F">
      <w:r>
        <w:separator/>
      </w:r>
    </w:p>
  </w:footnote>
  <w:footnote w:type="continuationSeparator" w:id="0">
    <w:p w:rsidR="00083DC1" w:rsidRDefault="00083DC1" w:rsidP="004D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671"/>
      <w:gridCol w:w="4663"/>
      <w:gridCol w:w="565"/>
      <w:gridCol w:w="423"/>
      <w:gridCol w:w="565"/>
      <w:gridCol w:w="706"/>
      <w:gridCol w:w="565"/>
      <w:gridCol w:w="706"/>
      <w:gridCol w:w="706"/>
    </w:tblGrid>
    <w:tr w:rsidR="00473E06" w:rsidRPr="004D1B3F" w:rsidTr="003D1564">
      <w:trPr>
        <w:trHeight w:val="300"/>
      </w:trPr>
      <w:tc>
        <w:tcPr>
          <w:tcW w:w="3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1</w:t>
          </w:r>
        </w:p>
      </w:tc>
      <w:tc>
        <w:tcPr>
          <w:tcW w:w="24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2</w:t>
          </w:r>
        </w:p>
      </w:tc>
      <w:tc>
        <w:tcPr>
          <w:tcW w:w="2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3</w:t>
          </w:r>
        </w:p>
      </w:tc>
      <w:tc>
        <w:tcPr>
          <w:tcW w:w="22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4</w:t>
          </w:r>
        </w:p>
      </w:tc>
      <w:tc>
        <w:tcPr>
          <w:tcW w:w="2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5</w:t>
          </w:r>
        </w:p>
      </w:tc>
      <w:tc>
        <w:tcPr>
          <w:tcW w:w="36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6</w:t>
          </w:r>
        </w:p>
      </w:tc>
      <w:tc>
        <w:tcPr>
          <w:tcW w:w="29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7</w:t>
          </w:r>
        </w:p>
      </w:tc>
      <w:tc>
        <w:tcPr>
          <w:tcW w:w="36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8</w:t>
          </w:r>
        </w:p>
      </w:tc>
      <w:tc>
        <w:tcPr>
          <w:tcW w:w="36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hideMark/>
        </w:tcPr>
        <w:p w:rsidR="00473E06" w:rsidRPr="004D1B3F" w:rsidRDefault="00473E06" w:rsidP="004D1B3F">
          <w:pPr>
            <w:jc w:val="center"/>
          </w:pPr>
          <w:r w:rsidRPr="004D1B3F">
            <w:rPr>
              <w:sz w:val="22"/>
              <w:szCs w:val="22"/>
            </w:rPr>
            <w:t>9</w:t>
          </w:r>
        </w:p>
      </w:tc>
    </w:tr>
  </w:tbl>
  <w:p w:rsidR="00473E06" w:rsidRPr="00B54876" w:rsidRDefault="00473E06" w:rsidP="00B54876">
    <w:pPr>
      <w:pStyle w:val="a3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C14BFB"/>
    <w:multiLevelType w:val="hybridMultilevel"/>
    <w:tmpl w:val="97700AAC"/>
    <w:lvl w:ilvl="0" w:tplc="015A2D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E0B19"/>
    <w:rsid w:val="00083DC1"/>
    <w:rsid w:val="00093FCB"/>
    <w:rsid w:val="000D4665"/>
    <w:rsid w:val="000E0B19"/>
    <w:rsid w:val="000F3995"/>
    <w:rsid w:val="00133A8F"/>
    <w:rsid w:val="001415B3"/>
    <w:rsid w:val="00165B41"/>
    <w:rsid w:val="00223FA0"/>
    <w:rsid w:val="00233FEC"/>
    <w:rsid w:val="0023713B"/>
    <w:rsid w:val="0024593F"/>
    <w:rsid w:val="00270030"/>
    <w:rsid w:val="002F51AA"/>
    <w:rsid w:val="00327704"/>
    <w:rsid w:val="0038202E"/>
    <w:rsid w:val="00391E37"/>
    <w:rsid w:val="003D1564"/>
    <w:rsid w:val="003F2148"/>
    <w:rsid w:val="003F6DCA"/>
    <w:rsid w:val="004412AC"/>
    <w:rsid w:val="00473E06"/>
    <w:rsid w:val="004D1B3F"/>
    <w:rsid w:val="004D538C"/>
    <w:rsid w:val="004E014B"/>
    <w:rsid w:val="004E0E8B"/>
    <w:rsid w:val="004F358D"/>
    <w:rsid w:val="00552391"/>
    <w:rsid w:val="005737A2"/>
    <w:rsid w:val="006120EE"/>
    <w:rsid w:val="00636470"/>
    <w:rsid w:val="00644150"/>
    <w:rsid w:val="00691F53"/>
    <w:rsid w:val="006C17AF"/>
    <w:rsid w:val="006C662E"/>
    <w:rsid w:val="006E5402"/>
    <w:rsid w:val="006F4276"/>
    <w:rsid w:val="0074194F"/>
    <w:rsid w:val="00750363"/>
    <w:rsid w:val="00796F7E"/>
    <w:rsid w:val="007B08CD"/>
    <w:rsid w:val="008150D8"/>
    <w:rsid w:val="008623E7"/>
    <w:rsid w:val="008B21DF"/>
    <w:rsid w:val="00923F83"/>
    <w:rsid w:val="00932A2D"/>
    <w:rsid w:val="00950DEA"/>
    <w:rsid w:val="00961755"/>
    <w:rsid w:val="009640C2"/>
    <w:rsid w:val="009E2A62"/>
    <w:rsid w:val="00A3344E"/>
    <w:rsid w:val="00A4321A"/>
    <w:rsid w:val="00A74D62"/>
    <w:rsid w:val="00A87803"/>
    <w:rsid w:val="00A96328"/>
    <w:rsid w:val="00AA5339"/>
    <w:rsid w:val="00AE3A2B"/>
    <w:rsid w:val="00B03415"/>
    <w:rsid w:val="00B25494"/>
    <w:rsid w:val="00B25C3F"/>
    <w:rsid w:val="00B54876"/>
    <w:rsid w:val="00C23F09"/>
    <w:rsid w:val="00CA30D5"/>
    <w:rsid w:val="00CD3C06"/>
    <w:rsid w:val="00CD58B5"/>
    <w:rsid w:val="00CE1221"/>
    <w:rsid w:val="00D210B4"/>
    <w:rsid w:val="00D6012F"/>
    <w:rsid w:val="00D87C8E"/>
    <w:rsid w:val="00D93826"/>
    <w:rsid w:val="00DC31CB"/>
    <w:rsid w:val="00DF057A"/>
    <w:rsid w:val="00E46197"/>
    <w:rsid w:val="00E72CA4"/>
    <w:rsid w:val="00EA6F25"/>
    <w:rsid w:val="00EC0B13"/>
    <w:rsid w:val="00F37C8C"/>
    <w:rsid w:val="00FA2441"/>
    <w:rsid w:val="00FB53C1"/>
    <w:rsid w:val="00FC0E98"/>
    <w:rsid w:val="00FD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995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F399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9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F399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A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C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2549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91E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91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995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F399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9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F399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A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DC3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2549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91E37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91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1840&amp;dst=3019&amp;field=134&amp;date=21.11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05021-FF08-4FEA-AD38-BBAE5BDE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AutoBVT</cp:lastModifiedBy>
  <cp:revision>31</cp:revision>
  <cp:lastPrinted>2021-12-20T09:55:00Z</cp:lastPrinted>
  <dcterms:created xsi:type="dcterms:W3CDTF">2023-11-21T09:24:00Z</dcterms:created>
  <dcterms:modified xsi:type="dcterms:W3CDTF">2024-12-12T08:06:00Z</dcterms:modified>
</cp:coreProperties>
</file>